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D2F" w:rsidRDefault="00675D2F">
      <w:pPr>
        <w:pStyle w:val="ConsPlusNormal"/>
        <w:ind w:firstLine="540"/>
        <w:jc w:val="both"/>
      </w:pPr>
      <w:r>
        <w:t xml:space="preserve">3(1). Размер платы за коммунальную услугу по отоплению в i-м жилом или нежилом помещении в многоквартирном доме, который оборудован коллективным (общедомовым) прибором учета тепловой энергии и в котором хотя бы одно, но не все жилые и нежилые помещения оборудованы индивидуальными и (или) общими (квартирными) приборами учета тепловой энергии, согласно </w:t>
      </w:r>
      <w:hyperlink r:id="rId4" w:history="1">
        <w:r>
          <w:rPr>
            <w:color w:val="0000FF"/>
          </w:rPr>
          <w:t>пунктам 42(1)</w:t>
        </w:r>
      </w:hyperlink>
      <w:r>
        <w:t xml:space="preserve"> и </w:t>
      </w:r>
      <w:hyperlink r:id="rId5" w:history="1">
        <w:r>
          <w:rPr>
            <w:color w:val="0000FF"/>
          </w:rPr>
          <w:t>43</w:t>
        </w:r>
      </w:hyperlink>
      <w:r>
        <w:t xml:space="preserve"> Правил определяется по формуле 3(1):</w:t>
      </w:r>
    </w:p>
    <w:p w:rsidR="00675D2F" w:rsidRDefault="00675D2F">
      <w:pPr>
        <w:pStyle w:val="ConsPlusNormal"/>
        <w:ind w:firstLine="540"/>
        <w:jc w:val="both"/>
        <w:outlineLvl w:val="0"/>
      </w:pPr>
    </w:p>
    <w:p w:rsidR="00675D2F" w:rsidRDefault="00675D2F">
      <w:pPr>
        <w:pStyle w:val="ConsPlusNormal"/>
        <w:jc w:val="center"/>
      </w:pPr>
      <w:bookmarkStart w:id="0" w:name="_GoBack"/>
      <w:bookmarkEnd w:id="0"/>
      <w:r w:rsidRPr="00DD7F32">
        <w:rPr>
          <w:position w:val="-33"/>
        </w:rPr>
        <w:pict>
          <v:shape id="_x0000_i1025" style="width:171.6pt;height:44.4pt" coordsize="" o:spt="100" adj="0,,0" path="" filled="f" stroked="f">
            <v:stroke joinstyle="miter"/>
            <v:imagedata r:id="rId6" o:title="base_1_314204_32775"/>
            <v:formulas/>
            <v:path o:connecttype="segments"/>
          </v:shape>
        </w:pict>
      </w:r>
    </w:p>
    <w:p w:rsidR="00675D2F" w:rsidRDefault="00675D2F">
      <w:pPr>
        <w:pStyle w:val="ConsPlusNormal"/>
        <w:ind w:firstLine="540"/>
        <w:jc w:val="both"/>
      </w:pPr>
    </w:p>
    <w:p w:rsidR="00675D2F" w:rsidRDefault="00675D2F">
      <w:pPr>
        <w:pStyle w:val="ConsPlusNormal"/>
        <w:ind w:firstLine="540"/>
        <w:jc w:val="both"/>
      </w:pPr>
      <w:r>
        <w:t>где:</w:t>
      </w:r>
    </w:p>
    <w:p w:rsidR="00675D2F" w:rsidRDefault="00675D2F">
      <w:pPr>
        <w:pStyle w:val="ConsPlusNormal"/>
        <w:spacing w:before="220"/>
        <w:ind w:firstLine="540"/>
        <w:jc w:val="both"/>
      </w:pPr>
      <w:proofErr w:type="spellStart"/>
      <w:r>
        <w:t>V</w:t>
      </w:r>
      <w:r>
        <w:rPr>
          <w:vertAlign w:val="subscript"/>
        </w:rPr>
        <w:t>i</w:t>
      </w:r>
      <w:proofErr w:type="spellEnd"/>
      <w:r>
        <w:t xml:space="preserve"> - объем (количество) потребленной за расчетный период тепловой энергии, приходящийся на i-е помещение (жилое или нежилое) в многоквартирном доме и определенный в i-м помещении (жилом или нежилом), оборудованном индивидуальным и (или) общим (квартирным) приборами учета, при осуществлении оплаты коммунальной услуги по отоплению в течение отопительного периода на основании показаний индивидуального и (или) общего (квартирного) прибора учета, при оплате равномерно в течение календарного года - исходя из среднемесячного объема потребления тепловой энергии на отопление, полученного на основании показаний индивидуального и (или) общего (квартирного) прибора учета за предыдущий год, а в i-м помещении (жилом или нежилом) в многоквартирном доме, не оборудованном индивидуальным и (или) общим (квартирным) приборами учета, - исходя из площади такого помещения по </w:t>
      </w:r>
      <w:hyperlink r:id="rId7" w:history="1">
        <w:r>
          <w:rPr>
            <w:color w:val="0000FF"/>
          </w:rPr>
          <w:t>формуле 3(7)</w:t>
        </w:r>
      </w:hyperlink>
      <w:r>
        <w:t>;</w:t>
      </w:r>
    </w:p>
    <w:p w:rsidR="00675D2F" w:rsidRDefault="00675D2F">
      <w:pPr>
        <w:pStyle w:val="ConsPlusNormal"/>
        <w:spacing w:before="220"/>
        <w:ind w:firstLine="540"/>
        <w:jc w:val="both"/>
      </w:pPr>
      <w:proofErr w:type="spellStart"/>
      <w:r>
        <w:t>S</w:t>
      </w:r>
      <w:r>
        <w:rPr>
          <w:vertAlign w:val="subscript"/>
        </w:rPr>
        <w:t>i</w:t>
      </w:r>
      <w:proofErr w:type="spellEnd"/>
      <w:r>
        <w:t xml:space="preserve"> - общая площадь i-</w:t>
      </w:r>
      <w:proofErr w:type="spellStart"/>
      <w:r>
        <w:t>го</w:t>
      </w:r>
      <w:proofErr w:type="spellEnd"/>
      <w:r>
        <w:t xml:space="preserve"> помещения (жилого или нежилого) в многоквартирном доме;</w:t>
      </w:r>
    </w:p>
    <w:p w:rsidR="00675D2F" w:rsidRDefault="00675D2F">
      <w:pPr>
        <w:pStyle w:val="ConsPlusNormal"/>
        <w:spacing w:before="220"/>
        <w:ind w:firstLine="540"/>
        <w:jc w:val="both"/>
      </w:pPr>
      <w:proofErr w:type="spellStart"/>
      <w:r>
        <w:t>V</w:t>
      </w:r>
      <w:r>
        <w:rPr>
          <w:vertAlign w:val="superscript"/>
        </w:rPr>
        <w:t>д</w:t>
      </w:r>
      <w:proofErr w:type="spellEnd"/>
      <w:r>
        <w:t xml:space="preserve"> - объем (количество) потребленной за расчетный период в многоквартирном доме тепловой энергии, определенный при осуществлении оплаты коммунальной услуги по отоплению в течение отопительного периода на основании показаний коллективного (общедомового) прибора учета тепловой энергии, а при оплате равномерно в течение календарного года - исходя из среднемесячного объема потребления тепловой энергии на отопление в многоквартирном доме на основании показаний коллективного (общедомового) прибора учета тепловой энергии за предыдущий год;</w:t>
      </w:r>
    </w:p>
    <w:p w:rsidR="00675D2F" w:rsidRDefault="00675D2F">
      <w:pPr>
        <w:pStyle w:val="ConsPlusNormal"/>
        <w:spacing w:before="220"/>
        <w:ind w:firstLine="540"/>
        <w:jc w:val="both"/>
      </w:pPr>
      <w:proofErr w:type="spellStart"/>
      <w:r>
        <w:t>S</w:t>
      </w:r>
      <w:r>
        <w:rPr>
          <w:vertAlign w:val="superscript"/>
        </w:rPr>
        <w:t>об</w:t>
      </w:r>
      <w:proofErr w:type="spellEnd"/>
      <w:r>
        <w:t xml:space="preserve"> - общая площадь всех жилых и нежилых помещений в многоквартирном доме;</w:t>
      </w:r>
    </w:p>
    <w:p w:rsidR="00675D2F" w:rsidRDefault="00675D2F">
      <w:pPr>
        <w:pStyle w:val="ConsPlusNormal"/>
        <w:spacing w:before="220"/>
        <w:ind w:firstLine="540"/>
        <w:jc w:val="both"/>
      </w:pPr>
      <w:r>
        <w:t>T</w:t>
      </w:r>
      <w:r>
        <w:rPr>
          <w:vertAlign w:val="superscript"/>
        </w:rPr>
        <w:t>Т</w:t>
      </w:r>
      <w:r>
        <w:t xml:space="preserve"> - тариф на тепловую энергию, установленный в соответствии с законодательством Российской Федерации.</w:t>
      </w:r>
    </w:p>
    <w:p w:rsidR="00675D2F" w:rsidRDefault="00675D2F">
      <w:pPr>
        <w:pStyle w:val="ConsPlusNormal"/>
        <w:spacing w:before="220"/>
        <w:ind w:firstLine="540"/>
        <w:jc w:val="both"/>
      </w:pPr>
      <w:r>
        <w:t xml:space="preserve">В случаях, предусмотренных </w:t>
      </w:r>
      <w:hyperlink r:id="rId8" w:history="1">
        <w:r>
          <w:rPr>
            <w:color w:val="0000FF"/>
          </w:rPr>
          <w:t>пунктами 59</w:t>
        </w:r>
      </w:hyperlink>
      <w:r>
        <w:t xml:space="preserve"> и </w:t>
      </w:r>
      <w:hyperlink r:id="rId9" w:history="1">
        <w:r>
          <w:rPr>
            <w:color w:val="0000FF"/>
          </w:rPr>
          <w:t>59(1)</w:t>
        </w:r>
      </w:hyperlink>
      <w:r>
        <w:t xml:space="preserve"> Правил, для расчета размера платы за коммунальную услугу по отоплению используется объем (количество) коммунального ресурса, определенный в соответствии с положениями указанных пунктов.</w:t>
      </w:r>
    </w:p>
    <w:p w:rsidR="00675D2F" w:rsidRDefault="00675D2F">
      <w:pPr>
        <w:pStyle w:val="ConsPlusNormal"/>
        <w:jc w:val="both"/>
      </w:pPr>
      <w:r>
        <w:t xml:space="preserve">(п. 3(1) 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РФ от 28.12.2018 N 1708)</w:t>
      </w:r>
    </w:p>
    <w:p w:rsidR="00675D2F" w:rsidRDefault="00675D2F">
      <w:pPr>
        <w:pStyle w:val="ConsPlusNormal"/>
      </w:pPr>
      <w:hyperlink r:id="rId11" w:history="1">
        <w:r>
          <w:rPr>
            <w:i/>
            <w:color w:val="0000FF"/>
          </w:rPr>
          <w:br/>
          <w:t>Постановление Правительства РФ от 06.05.2011 N 354 (ред. от 28.12.2018) "О предоставлении коммунальных услуг собственникам и пользователям помещений в многоквартирных домах и жилых домов" (вместе с "Правилами предоставления коммунальных услуг собственникам и пользователям помещений в многоквартирных домах и жилых домов") {КонсультантПлюс}</w:t>
        </w:r>
      </w:hyperlink>
      <w:r>
        <w:br/>
      </w:r>
    </w:p>
    <w:p w:rsidR="00675D2F" w:rsidRDefault="00675D2F" w:rsidP="00675D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3(7). Объем (количество) потребленной за расчетный период тепловой энергии, приходящийся на не оборудованное индивидуальным и (или) общим (квартирным) прибором учета i-е помещение (жилое или нежилое) в многоквартирном доме, который оборудован коллективным (общедомовым) прибором учета тепловой энергии и в котором хотя бы одно, но не все жилые и нежилые помещения оборудованы индивидуальными и (или) общими (квартирными) приборами учета тепловой энергии, определяется по формуле 3(7):</w:t>
      </w:r>
    </w:p>
    <w:p w:rsidR="00675D2F" w:rsidRDefault="00675D2F" w:rsidP="00675D2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675D2F" w:rsidRDefault="00675D2F" w:rsidP="00675D2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  <w:position w:val="-31"/>
        </w:rPr>
        <w:drawing>
          <wp:inline distT="0" distB="0" distL="0" distR="0">
            <wp:extent cx="1247140" cy="5403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D2F" w:rsidRDefault="00675D2F" w:rsidP="00675D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75D2F" w:rsidRDefault="00675D2F" w:rsidP="00675D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675D2F" w:rsidRDefault="00675D2F" w:rsidP="00675D2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S</w:t>
      </w:r>
      <w:r>
        <w:rPr>
          <w:rFonts w:ascii="Calibri" w:hAnsi="Calibri" w:cs="Calibri"/>
          <w:vertAlign w:val="subscript"/>
        </w:rPr>
        <w:t>i</w:t>
      </w:r>
      <w:proofErr w:type="spellEnd"/>
      <w:r>
        <w:rPr>
          <w:rFonts w:ascii="Calibri" w:hAnsi="Calibri" w:cs="Calibri"/>
        </w:rPr>
        <w:t xml:space="preserve"> - общая площадь не оборудованного индивидуальным и (или) общим (квартирным) прибором учета i-</w:t>
      </w:r>
      <w:proofErr w:type="spellStart"/>
      <w:r>
        <w:rPr>
          <w:rFonts w:ascii="Calibri" w:hAnsi="Calibri" w:cs="Calibri"/>
        </w:rPr>
        <w:t>го</w:t>
      </w:r>
      <w:proofErr w:type="spellEnd"/>
      <w:r>
        <w:rPr>
          <w:rFonts w:ascii="Calibri" w:hAnsi="Calibri" w:cs="Calibri"/>
        </w:rPr>
        <w:t xml:space="preserve"> помещения (жилого или нежилого) в многоквартирном доме;</w:t>
      </w:r>
    </w:p>
    <w:p w:rsidR="00675D2F" w:rsidRDefault="00675D2F" w:rsidP="00675D2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  <w:position w:val="-11"/>
        </w:rPr>
        <w:drawing>
          <wp:inline distT="0" distB="0" distL="0" distR="0">
            <wp:extent cx="588010" cy="28511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- сумма объемов (количества) тепловой энергии, определенных по показаниям индивидуальных и (или) общих (квартирных) приборов учета за расчетный период при осуществлении оплаты коммунальной услуги по отоплению в течение отопительного периода, а при оплате равномерно в течение календарного года - исходя из среднемесячного объема потребления тепловой энергии на отопление в многоквартирном доме по показаниям индивидуальных и (или) общих (квартирных) приборов учета за предыдущий год;</w:t>
      </w:r>
    </w:p>
    <w:p w:rsidR="00675D2F" w:rsidRDefault="00675D2F" w:rsidP="00675D2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  <w:position w:val="-11"/>
        </w:rPr>
        <w:drawing>
          <wp:inline distT="0" distB="0" distL="0" distR="0">
            <wp:extent cx="588010" cy="2851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- сумма площадей i-х помещений (жилых или нежилых) в многоквартирном доме, оборудованных индивидуальными и (или) общими (квартирными) приборами учета, с применением показаний которых осуществляется расчет платы.</w:t>
      </w:r>
    </w:p>
    <w:p w:rsidR="00675D2F" w:rsidRDefault="00675D2F" w:rsidP="00675D2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случаях, предусмотренных </w:t>
      </w:r>
      <w:hyperlink r:id="rId15" w:history="1">
        <w:r>
          <w:rPr>
            <w:rFonts w:ascii="Calibri" w:hAnsi="Calibri" w:cs="Calibri"/>
            <w:color w:val="0000FF"/>
          </w:rPr>
          <w:t>пунктом 59</w:t>
        </w:r>
      </w:hyperlink>
      <w:r>
        <w:rPr>
          <w:rFonts w:ascii="Calibri" w:hAnsi="Calibri" w:cs="Calibri"/>
        </w:rPr>
        <w:t xml:space="preserve"> Правил, для расчета размера платы за коммунальную услугу по отоплению используется объем (количество) коммунального ресурса, определенный в соответствии с положениями указанного </w:t>
      </w:r>
      <w:hyperlink r:id="rId16" w:history="1">
        <w:r>
          <w:rPr>
            <w:rFonts w:ascii="Calibri" w:hAnsi="Calibri" w:cs="Calibri"/>
            <w:color w:val="0000FF"/>
          </w:rPr>
          <w:t>пункта</w:t>
        </w:r>
      </w:hyperlink>
      <w:r>
        <w:rPr>
          <w:rFonts w:ascii="Calibri" w:hAnsi="Calibri" w:cs="Calibri"/>
        </w:rPr>
        <w:t>.</w:t>
      </w:r>
    </w:p>
    <w:p w:rsidR="00675D2F" w:rsidRDefault="00675D2F" w:rsidP="00675D2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V</w:t>
      </w:r>
      <w:r>
        <w:rPr>
          <w:rFonts w:ascii="Calibri" w:hAnsi="Calibri" w:cs="Calibri"/>
          <w:vertAlign w:val="subscript"/>
        </w:rPr>
        <w:t>i</w:t>
      </w:r>
      <w:proofErr w:type="spellEnd"/>
      <w:r>
        <w:rPr>
          <w:rFonts w:ascii="Calibri" w:hAnsi="Calibri" w:cs="Calibri"/>
        </w:rPr>
        <w:t xml:space="preserve"> равен нулю в случае, если технической документацией на многоквартирный дом не предусмотрено наличие в i-м жилом или нежилом помещении приборов отопления, или в случае, если в соответствии со схемой теплоснабжения, утвержденной в соответствии с Федеральным </w:t>
      </w:r>
      <w:hyperlink r:id="rId1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теплоснабжении", осуществляется использование индивидуальных квартирных источников тепловой энергии.</w:t>
      </w:r>
    </w:p>
    <w:p w:rsidR="00675D2F" w:rsidRDefault="00675D2F" w:rsidP="00675D2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3(7) введен </w:t>
      </w:r>
      <w:hyperlink r:id="rId18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28.12.2018 N 1708)</w:t>
      </w:r>
    </w:p>
    <w:sectPr w:rsidR="00675D2F" w:rsidSect="004E4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D2F"/>
    <w:rsid w:val="00675D2F"/>
    <w:rsid w:val="007007D8"/>
    <w:rsid w:val="00D5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934BD-BE76-4F0A-B696-354A481B1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rsid w:val="00675D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A4C79A67ED97633B94F851180DFBA00777E6B124826DDE7891B3FE8D622CADD7E62213F0F2A26EA21FF54BADE4628ED6DC327C8068EAE6ZCwBL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22C243662495DED18779B4557E202BB76A3531DC543A6A5A153E896EE0840BEA1EC58892A321DB911F892C9BC15275E49B468F3C452B413A08w9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0A4C79A67ED97633B94F851180DFBA00777E6B124826DDE7891B3FE8D622CADD7E62217F6F2AB3CFB50F417EBB0718CD5DC307E9FZ6w3L" TargetMode="External"/><Relationship Id="rId12" Type="http://schemas.openxmlformats.org/officeDocument/2006/relationships/image" Target="media/image2.wmf"/><Relationship Id="rId17" Type="http://schemas.openxmlformats.org/officeDocument/2006/relationships/hyperlink" Target="consultantplus://offline/ref=22C243662495DED18779B4557E202BB76A3436D4563A6A5A153E896EE0840BEA0CC5D09EA120C4921A9C7ACA8400wE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2C243662495DED18779B4557E202BB76A3530DF513E6A5A153E896EE0840BEA1EC58892A320D89410892C9BC15275E49B468F3C452B413A08w9L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yperlink" Target="consultantplus://offline/ref=F0A4C79A67ED97633B94F851180DFBA00777E6B124826DDE7891B3FE8D622CADD7E62217F3F5AB3CFB50F417EBB0718CD5DC307E9FZ6w3L" TargetMode="External"/><Relationship Id="rId5" Type="http://schemas.openxmlformats.org/officeDocument/2006/relationships/hyperlink" Target="consultantplus://offline/ref=F0A4C79A67ED97633B94F851180DFBA00777E6B124826DDE7891B3FE8D622CADD7E62213F0F2A26CAF1FF54BADE4628ED6DC327C8068EAE6ZCwBL" TargetMode="External"/><Relationship Id="rId15" Type="http://schemas.openxmlformats.org/officeDocument/2006/relationships/hyperlink" Target="consultantplus://offline/ref=22C243662495DED18779B4557E202BB76A3530DF513E6A5A153E896EE0840BEA1EC58892A320D89410892C9BC15275E49B468F3C452B413A08w9L" TargetMode="External"/><Relationship Id="rId10" Type="http://schemas.openxmlformats.org/officeDocument/2006/relationships/hyperlink" Target="consultantplus://offline/ref=F0A4C79A67ED97633B94F851180DFBA00777E7B221866DDE7891B3FE8D622CADD7E62213F0F3A168A31FF54BADE4628ED6DC327C8068EAE6ZCwBL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F0A4C79A67ED97633B94F851180DFBA00777E6B124826DDE7891B3FE8D622CADD7E62213F3F6AB3CFB50F417EBB0718CD5DC307E9FZ6w3L" TargetMode="External"/><Relationship Id="rId9" Type="http://schemas.openxmlformats.org/officeDocument/2006/relationships/hyperlink" Target="consultantplus://offline/ref=F0A4C79A67ED97633B94F851180DFBA00777E6B124826DDE7891B3FE8D622CADD7E62213F0F2A06FA91FF54BADE4628ED6DC327C8068EAE6ZCwBL" TargetMode="External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Shmagina, Vasilina</dc:creator>
  <cp:keywords/>
  <dc:description/>
  <cp:lastModifiedBy>Shmagina, Vasilina</cp:lastModifiedBy>
  <cp:revision>1</cp:revision>
  <dcterms:created xsi:type="dcterms:W3CDTF">2019-02-21T11:48:00Z</dcterms:created>
  <dcterms:modified xsi:type="dcterms:W3CDTF">2019-02-21T12:38:00Z</dcterms:modified>
</cp:coreProperties>
</file>